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6A" w:rsidRPr="00E42755" w:rsidRDefault="005E216A" w:rsidP="005E216A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 xml:space="preserve">SEGUNDA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>
        <w:rPr>
          <w:rFonts w:ascii="Palatino Linotype" w:hAnsi="Palatino Linotype" w:cs="Arial"/>
          <w:b/>
        </w:rPr>
        <w:t>DIECISÉIS DE ENERO DE DOS MIL DIECINUEVE</w:t>
      </w:r>
      <w:r w:rsidRPr="0007653D">
        <w:rPr>
          <w:rFonts w:ascii="Palatino Linotype" w:hAnsi="Palatino Linotype" w:cs="Arial"/>
          <w:b/>
        </w:rPr>
        <w:t>, EN EL RECURSO DE REVISIÓN 0</w:t>
      </w:r>
      <w:r>
        <w:rPr>
          <w:rFonts w:ascii="Palatino Linotype" w:hAnsi="Palatino Linotype" w:cs="Arial"/>
          <w:b/>
        </w:rPr>
        <w:t>4048/INFOEM/IP/RR/2018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5E216A" w:rsidRPr="00E42755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4048/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 xml:space="preserve">o </w:t>
      </w:r>
      <w:r w:rsidRPr="003B7727">
        <w:rPr>
          <w:rFonts w:ascii="Palatino Linotype" w:hAnsi="Palatino Linotype" w:cs="Arial"/>
          <w:b/>
        </w:rPr>
        <w:t>J</w:t>
      </w:r>
      <w:r>
        <w:rPr>
          <w:rFonts w:ascii="Palatino Linotype" w:hAnsi="Palatino Linotype" w:cs="Arial"/>
          <w:b/>
        </w:rPr>
        <w:t>OSÉ GUADALUPE LUNA HERNÁNDEZ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5E216A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el 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>ión; empero, 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>, tocante a parte de la información de la que se ordena la entrega.</w:t>
      </w:r>
    </w:p>
    <w:p w:rsidR="005E216A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>
        <w:rPr>
          <w:rFonts w:ascii="Palatino Linotype" w:hAnsi="Palatino Linotype"/>
        </w:rPr>
        <w:t xml:space="preserve">requirió del </w:t>
      </w:r>
      <w:r>
        <w:rPr>
          <w:rFonts w:ascii="Palatino Linotype" w:hAnsi="Palatino Linotype"/>
          <w:b/>
        </w:rPr>
        <w:t xml:space="preserve">Ayuntamiento de Toluca, </w:t>
      </w:r>
      <w:r>
        <w:rPr>
          <w:rFonts w:ascii="Palatino Linotype" w:hAnsi="Palatino Linotype" w:cs="Arial"/>
        </w:rPr>
        <w:t xml:space="preserve">en lo sucesivo </w:t>
      </w:r>
      <w:r>
        <w:rPr>
          <w:rFonts w:ascii="Palatino Linotype" w:hAnsi="Palatino Linotype"/>
          <w:b/>
        </w:rPr>
        <w:t>EL S</w:t>
      </w:r>
      <w:r w:rsidRPr="008C0700">
        <w:rPr>
          <w:rFonts w:ascii="Palatino Linotype" w:hAnsi="Palatino Linotype"/>
          <w:b/>
        </w:rPr>
        <w:t>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la información que a continuación se desagrega:</w:t>
      </w:r>
    </w:p>
    <w:p w:rsidR="005E216A" w:rsidRDefault="005E216A" w:rsidP="005E216A">
      <w:pPr>
        <w:pStyle w:val="Prrafodelista"/>
        <w:numPr>
          <w:ilvl w:val="1"/>
          <w:numId w:val="2"/>
        </w:numPr>
        <w:tabs>
          <w:tab w:val="left" w:pos="426"/>
        </w:tabs>
        <w:spacing w:before="240" w:after="240" w:line="360" w:lineRule="auto"/>
        <w:ind w:left="1134"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Estructura orgánica de la policía municipal.</w:t>
      </w:r>
    </w:p>
    <w:p w:rsidR="005E216A" w:rsidRDefault="005E216A" w:rsidP="005E216A">
      <w:pPr>
        <w:pStyle w:val="Prrafodelista"/>
        <w:numPr>
          <w:ilvl w:val="1"/>
          <w:numId w:val="2"/>
        </w:numPr>
        <w:tabs>
          <w:tab w:val="left" w:pos="426"/>
        </w:tabs>
        <w:spacing w:before="240" w:after="240" w:line="360" w:lineRule="auto"/>
        <w:ind w:left="1134"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Nombre de los servidores públicos que integran la policía municipal.</w:t>
      </w:r>
    </w:p>
    <w:p w:rsidR="005E216A" w:rsidRDefault="005E216A" w:rsidP="005E216A">
      <w:pPr>
        <w:pStyle w:val="Prrafodelista"/>
        <w:numPr>
          <w:ilvl w:val="1"/>
          <w:numId w:val="2"/>
        </w:numPr>
        <w:tabs>
          <w:tab w:val="left" w:pos="426"/>
        </w:tabs>
        <w:spacing w:before="240" w:after="240" w:line="360" w:lineRule="auto"/>
        <w:ind w:left="1134"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Manera en que se encuentra dividido el municipio (cuadrantes) para que la policía ejerza sus funciones.</w:t>
      </w:r>
    </w:p>
    <w:p w:rsidR="005E216A" w:rsidRDefault="005E216A" w:rsidP="005E216A">
      <w:pPr>
        <w:pStyle w:val="Prrafodelista"/>
        <w:numPr>
          <w:ilvl w:val="1"/>
          <w:numId w:val="2"/>
        </w:numPr>
        <w:tabs>
          <w:tab w:val="left" w:pos="426"/>
        </w:tabs>
        <w:spacing w:before="240" w:after="240" w:line="360" w:lineRule="auto"/>
        <w:ind w:left="1134"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Nómina de los servidores públicos que integran la policía municipal de la segunda quincena de agosto de dos mil dieciocho.</w:t>
      </w:r>
    </w:p>
    <w:p w:rsidR="005E216A" w:rsidRDefault="005E216A" w:rsidP="005E216A">
      <w:pPr>
        <w:pStyle w:val="Prrafodelista"/>
        <w:numPr>
          <w:ilvl w:val="1"/>
          <w:numId w:val="2"/>
        </w:numPr>
        <w:tabs>
          <w:tab w:val="left" w:pos="426"/>
        </w:tabs>
        <w:spacing w:before="240" w:after="240" w:line="360" w:lineRule="auto"/>
        <w:ind w:left="1134"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Presupuesto asignado y ejercido de la policía municipal para el ejercicio dos mil dieciocho.</w:t>
      </w:r>
    </w:p>
    <w:p w:rsidR="005E216A" w:rsidRDefault="005E216A" w:rsidP="005E216A">
      <w:pPr>
        <w:pStyle w:val="Prrafodelista"/>
        <w:numPr>
          <w:ilvl w:val="1"/>
          <w:numId w:val="2"/>
        </w:numPr>
        <w:tabs>
          <w:tab w:val="left" w:pos="426"/>
        </w:tabs>
        <w:spacing w:before="240" w:after="240" w:line="360" w:lineRule="auto"/>
        <w:ind w:left="1134"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Inventario de bienes muebles e inmuebles de la policía municipal.</w:t>
      </w:r>
    </w:p>
    <w:p w:rsidR="005E216A" w:rsidRDefault="005E216A" w:rsidP="005E216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advierte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en respuesta adjuntó diversos archivos electrónicos a través de los cuales pretendió colmar la solicitud de información que le fue planteada y que para mayor referencia se describen a continuación:</w:t>
      </w:r>
    </w:p>
    <w:p w:rsidR="005E216A" w:rsidRPr="003E65D8" w:rsidRDefault="005E216A" w:rsidP="005E216A">
      <w:pPr>
        <w:pStyle w:val="Prrafodelista"/>
        <w:numPr>
          <w:ilvl w:val="0"/>
          <w:numId w:val="3"/>
        </w:numPr>
        <w:spacing w:line="360" w:lineRule="auto"/>
        <w:ind w:left="709"/>
        <w:jc w:val="both"/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i/>
          <w:szCs w:val="22"/>
        </w:rPr>
        <w:t>“200 CUADRANTES.pdf”:</w:t>
      </w:r>
      <w:r>
        <w:rPr>
          <w:rFonts w:ascii="Palatino Linotype" w:hAnsi="Palatino Linotype"/>
          <w:szCs w:val="22"/>
        </w:rPr>
        <w:t xml:space="preserve"> Oficio 211001000/0814/2018 de nueve (09) de octubre de dos mil dieciocho, emitido por el Director de Seguridad Ciudadana, al Titular de la Unidad de Transparencia del </w:t>
      </w:r>
      <w:r>
        <w:rPr>
          <w:rFonts w:ascii="Palatino Linotype" w:hAnsi="Palatino Linotype"/>
          <w:b/>
          <w:szCs w:val="22"/>
        </w:rPr>
        <w:t>SUJETO OBLIGADO</w:t>
      </w:r>
      <w:r>
        <w:rPr>
          <w:rFonts w:ascii="Palatino Linotype" w:hAnsi="Palatino Linotype"/>
          <w:szCs w:val="22"/>
        </w:rPr>
        <w:t>, por medio de cual, manifiesta que el territorio municipal se encuentra conformado por doscientos (200) cuadrantes.</w:t>
      </w:r>
    </w:p>
    <w:p w:rsidR="005E216A" w:rsidRPr="0091414B" w:rsidRDefault="005E216A" w:rsidP="005E216A">
      <w:pPr>
        <w:pStyle w:val="Prrafodelista"/>
        <w:spacing w:line="360" w:lineRule="auto"/>
        <w:ind w:left="709"/>
        <w:jc w:val="both"/>
        <w:rPr>
          <w:rFonts w:ascii="Palatino Linotype" w:hAnsi="Palatino Linotype"/>
          <w:b/>
          <w:szCs w:val="22"/>
        </w:rPr>
      </w:pPr>
    </w:p>
    <w:p w:rsidR="005E216A" w:rsidRPr="00153DC1" w:rsidRDefault="005E216A" w:rsidP="005E216A">
      <w:pPr>
        <w:pStyle w:val="Prrafodelista"/>
        <w:numPr>
          <w:ilvl w:val="0"/>
          <w:numId w:val="3"/>
        </w:numPr>
        <w:spacing w:line="360" w:lineRule="auto"/>
        <w:ind w:left="709"/>
        <w:jc w:val="both"/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szCs w:val="22"/>
        </w:rPr>
        <w:t>“</w:t>
      </w:r>
      <w:proofErr w:type="spellStart"/>
      <w:r>
        <w:rPr>
          <w:rFonts w:ascii="Palatino Linotype" w:hAnsi="Palatino Linotype"/>
          <w:b/>
          <w:i/>
          <w:szCs w:val="22"/>
        </w:rPr>
        <w:t>saimex</w:t>
      </w:r>
      <w:proofErr w:type="spellEnd"/>
      <w:r>
        <w:rPr>
          <w:rFonts w:ascii="Palatino Linotype" w:hAnsi="Palatino Linotype"/>
          <w:b/>
          <w:i/>
          <w:szCs w:val="22"/>
        </w:rPr>
        <w:t xml:space="preserve"> 411.pdf”:</w:t>
      </w:r>
      <w:r>
        <w:rPr>
          <w:rFonts w:ascii="Palatino Linotype" w:hAnsi="Palatino Linotype"/>
          <w:szCs w:val="22"/>
        </w:rPr>
        <w:t xml:space="preserve"> Oficio 216001600/3141/2018 de once (11) de octubre de dos mil dieciocho, emitido por la Subdirectora de Recursos Humanos, a la Titular de la </w:t>
      </w:r>
      <w:r>
        <w:rPr>
          <w:rFonts w:ascii="Palatino Linotype" w:hAnsi="Palatino Linotype"/>
          <w:szCs w:val="22"/>
        </w:rPr>
        <w:lastRenderedPageBreak/>
        <w:t xml:space="preserve">Unidad de Transparencia, a través del cual se pronuncia respecto de los numerales 1, 2 y 4 de la solicitud de información </w:t>
      </w:r>
      <w:r>
        <w:rPr>
          <w:rFonts w:ascii="Palatino Linotype" w:hAnsi="Palatino Linotype"/>
          <w:b/>
          <w:szCs w:val="22"/>
        </w:rPr>
        <w:t>00411/TOLUCA/IP/2018.</w:t>
      </w:r>
    </w:p>
    <w:p w:rsidR="005E216A" w:rsidRPr="00153DC1" w:rsidRDefault="005E216A" w:rsidP="005E216A">
      <w:pPr>
        <w:pStyle w:val="Prrafodelista"/>
        <w:spacing w:line="360" w:lineRule="auto"/>
        <w:ind w:left="709"/>
        <w:jc w:val="both"/>
        <w:rPr>
          <w:rFonts w:ascii="Palatino Linotype" w:hAnsi="Palatino Linotype"/>
          <w:b/>
          <w:szCs w:val="22"/>
        </w:rPr>
      </w:pPr>
    </w:p>
    <w:p w:rsidR="005E216A" w:rsidRPr="00153DC1" w:rsidRDefault="005E216A" w:rsidP="005E216A">
      <w:pPr>
        <w:pStyle w:val="Prrafodelista"/>
        <w:numPr>
          <w:ilvl w:val="0"/>
          <w:numId w:val="3"/>
        </w:numPr>
        <w:spacing w:line="360" w:lineRule="auto"/>
        <w:ind w:left="709"/>
        <w:jc w:val="both"/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szCs w:val="22"/>
        </w:rPr>
        <w:t>“nota 411 punto 5.pdf”:</w:t>
      </w:r>
      <w:r>
        <w:rPr>
          <w:rFonts w:ascii="Palatino Linotype" w:hAnsi="Palatino Linotype"/>
          <w:szCs w:val="22"/>
        </w:rPr>
        <w:t xml:space="preserve"> Nota informativa número 233, emitida por el Subdi</w:t>
      </w:r>
      <w:r w:rsidR="006F221D">
        <w:rPr>
          <w:rFonts w:ascii="Palatino Linotype" w:hAnsi="Palatino Linotype"/>
          <w:szCs w:val="22"/>
        </w:rPr>
        <w:t>rector de Egresos a la Secretarí</w:t>
      </w:r>
      <w:r>
        <w:rPr>
          <w:rFonts w:ascii="Palatino Linotype" w:hAnsi="Palatino Linotype"/>
          <w:szCs w:val="22"/>
        </w:rPr>
        <w:t>a Particular de la Tesorería, a través de la cual, informa el presupuesto asignado a la Dirección de Seguridad ciudadana para el ejercicio fiscal dos mil dieciocho, así mismo, refiere que el presupuesto ejercido se conoce una vez concluido el año fiscal.</w:t>
      </w:r>
    </w:p>
    <w:p w:rsidR="005E216A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  <w:lang w:val="es-MX" w:eastAsia="es-MX"/>
        </w:rPr>
        <w:t xml:space="preserve">Inconforme con la respuesta, </w:t>
      </w:r>
      <w:r>
        <w:rPr>
          <w:rFonts w:ascii="Palatino Linotype" w:hAnsi="Palatino Linotype"/>
          <w:b/>
          <w:color w:val="000000"/>
          <w:lang w:val="es-MX" w:eastAsia="es-MX"/>
        </w:rPr>
        <w:t>EL R</w:t>
      </w:r>
      <w:r w:rsidRPr="00833697">
        <w:rPr>
          <w:rFonts w:ascii="Palatino Linotype" w:hAnsi="Palatino Linotype"/>
          <w:b/>
          <w:color w:val="000000"/>
          <w:lang w:val="es-MX" w:eastAsia="es-MX"/>
        </w:rPr>
        <w:t>ECURRENTE</w:t>
      </w:r>
      <w:r>
        <w:rPr>
          <w:rFonts w:ascii="Palatino Linotype" w:hAnsi="Palatino Linotype"/>
          <w:color w:val="000000"/>
          <w:lang w:val="es-MX" w:eastAsia="es-MX"/>
        </w:rPr>
        <w:t xml:space="preserve"> </w:t>
      </w:r>
      <w:r>
        <w:rPr>
          <w:rFonts w:ascii="Palatino Linotype" w:hAnsi="Palatino Linotype" w:cs="Arial"/>
        </w:rPr>
        <w:t xml:space="preserve">interpuso el recurso de revisión de mérito, en el que señaló que la información no fue entregada como se solicitó </w:t>
      </w:r>
      <w:r w:rsidR="006F221D">
        <w:rPr>
          <w:rFonts w:ascii="Palatino Linotype" w:hAnsi="Palatino Linotype" w:cs="Arial"/>
        </w:rPr>
        <w:t xml:space="preserve">ya que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clasificó mayor parte de la información.</w:t>
      </w:r>
    </w:p>
    <w:p w:rsidR="005E216A" w:rsidRPr="00195929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Bajo ese tenor, el Ayuntamiento de Toluca,</w:t>
      </w:r>
      <w:r w:rsidR="00195929">
        <w:rPr>
          <w:rFonts w:ascii="Palatino Linotype" w:hAnsi="Palatino Linotype" w:cs="Arial"/>
        </w:rPr>
        <w:t xml:space="preserve"> mediante Informe Justificado ratificó su respuesta. Mientras que </w:t>
      </w:r>
      <w:r w:rsidR="00195929">
        <w:rPr>
          <w:rFonts w:ascii="Palatino Linotype" w:hAnsi="Palatino Linotype" w:cs="Arial"/>
          <w:b/>
        </w:rPr>
        <w:t xml:space="preserve">EL RECURRENTE </w:t>
      </w:r>
      <w:r w:rsidR="00195929">
        <w:rPr>
          <w:rFonts w:ascii="Palatino Linotype" w:hAnsi="Palatino Linotype" w:cs="Arial"/>
        </w:rPr>
        <w:t xml:space="preserve">adjuntó un </w:t>
      </w:r>
      <w:r>
        <w:rPr>
          <w:rFonts w:ascii="Palatino Linotype" w:hAnsi="Palatino Linotype" w:cs="Arial"/>
        </w:rPr>
        <w:t>archivo electrónico denominado</w:t>
      </w:r>
      <w:r>
        <w:rPr>
          <w:rFonts w:ascii="Palatino Linotype" w:eastAsia="Calibri" w:hAnsi="Palatino Linotype" w:cs="Arial"/>
        </w:rPr>
        <w:t xml:space="preserve"> </w:t>
      </w:r>
      <w:r>
        <w:rPr>
          <w:rFonts w:ascii="Palatino Linotype" w:eastAsia="Calibri" w:hAnsi="Palatino Linotype" w:cs="Arial"/>
          <w:b/>
          <w:i/>
        </w:rPr>
        <w:t>“MANIFESTACIONES.docx”</w:t>
      </w:r>
      <w:r>
        <w:rPr>
          <w:rFonts w:ascii="Palatino Linotype" w:eastAsia="Calibri" w:hAnsi="Palatino Linotype" w:cs="Arial"/>
        </w:rPr>
        <w:t>, mediante el cual exhibió</w:t>
      </w:r>
      <w:r w:rsidR="00A711B4">
        <w:rPr>
          <w:rFonts w:ascii="Palatino Linotype" w:eastAsia="Calibri" w:hAnsi="Palatino Linotype" w:cs="Arial"/>
        </w:rPr>
        <w:t xml:space="preserve"> tres fotografías a medida</w:t>
      </w:r>
      <w:r>
        <w:rPr>
          <w:rFonts w:ascii="Palatino Linotype" w:eastAsia="Calibri" w:hAnsi="Palatino Linotype" w:cs="Arial"/>
        </w:rPr>
        <w:t xml:space="preserve"> de ejemplos de tres distintos carteles con el logotipo del </w:t>
      </w:r>
      <w:r w:rsidR="00A711B4">
        <w:rPr>
          <w:rFonts w:ascii="Palatino Linotype" w:eastAsia="Calibri" w:hAnsi="Palatino Linotype" w:cs="Arial"/>
        </w:rPr>
        <w:t xml:space="preserve">Municipio </w:t>
      </w:r>
      <w:r>
        <w:rPr>
          <w:rFonts w:ascii="Palatino Linotype" w:eastAsia="Calibri" w:hAnsi="Palatino Linotype" w:cs="Arial"/>
        </w:rPr>
        <w:t>de Toluca, que muestran el nombre del cuadrante, mapa del mismo, número de patrulla asignada, los policías jefes de cuadrante y un número celular de auxilio.</w:t>
      </w:r>
    </w:p>
    <w:p w:rsidR="005E216A" w:rsidRDefault="005E216A" w:rsidP="005E216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 xml:space="preserve"> la Ponencia Resolutora determinó </w:t>
      </w:r>
      <w:r>
        <w:rPr>
          <w:rFonts w:ascii="Palatino Linotype" w:hAnsi="Palatino Linotype" w:cs="Arial"/>
          <w:b/>
        </w:rPr>
        <w:t xml:space="preserve">MODIFICAR </w:t>
      </w:r>
      <w:r>
        <w:rPr>
          <w:rFonts w:ascii="Palatino Linotype" w:hAnsi="Palatino Linotype" w:cs="Arial"/>
        </w:rPr>
        <w:t xml:space="preserve">la respuesta del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 xml:space="preserve">y ordenar la entrega vía </w:t>
      </w:r>
      <w:r w:rsidRPr="00A711B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</w:rPr>
        <w:t xml:space="preserve"> y en versión pública de lo siguiente:</w:t>
      </w:r>
    </w:p>
    <w:p w:rsidR="00A711B4" w:rsidRPr="00A711B4" w:rsidRDefault="00A711B4" w:rsidP="00A7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899" w:hanging="283"/>
        <w:contextualSpacing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 w:rsidRPr="00A711B4"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Estructura orgánica de la Secretaría de Seguridad Ciudadana;</w:t>
      </w:r>
    </w:p>
    <w:p w:rsidR="00A711B4" w:rsidRPr="00A711B4" w:rsidRDefault="00A711B4" w:rsidP="00A7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899" w:hanging="283"/>
        <w:contextualSpacing/>
        <w:jc w:val="both"/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</w:rPr>
      </w:pPr>
      <w:r w:rsidRPr="00A711B4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</w:rPr>
        <w:lastRenderedPageBreak/>
        <w:t>Documento o documentos que contengan el nombre y croquis de los doscientos cuadrantes, junto con el número de patrulla, jefes de turno responsables y el número telefónico de auxilio de cada uno;</w:t>
      </w:r>
    </w:p>
    <w:p w:rsidR="00A711B4" w:rsidRPr="00A711B4" w:rsidRDefault="00A711B4" w:rsidP="00A7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899" w:hanging="283"/>
        <w:contextualSpacing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 w:rsidRPr="00A711B4"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Nombre de los servidores públicos que integran a la Secretaría de Seguridad Ciudadana;</w:t>
      </w:r>
    </w:p>
    <w:p w:rsidR="00A711B4" w:rsidRPr="00A711B4" w:rsidRDefault="00A711B4" w:rsidP="00A7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899" w:hanging="283"/>
        <w:contextualSpacing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 w:rsidRPr="00A711B4"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Nómina de los servidores públicos que integran a la Secretaría de Seguridad Ciudadana; y</w:t>
      </w:r>
    </w:p>
    <w:p w:rsidR="00A711B4" w:rsidRPr="00A711B4" w:rsidRDefault="00A711B4" w:rsidP="00A7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899" w:hanging="283"/>
        <w:contextualSpacing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 w:rsidRPr="00A711B4"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Inventario de bienes muebles e inmuebles de la Secretaría de Seguridad Ciudadana.</w:t>
      </w:r>
    </w:p>
    <w:p w:rsidR="00A711B4" w:rsidRPr="00A711B4" w:rsidRDefault="00A711B4" w:rsidP="00A7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899" w:hanging="283"/>
        <w:contextualSpacing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 w:rsidRPr="00A711B4"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del particular.</w:t>
      </w:r>
    </w:p>
    <w:p w:rsidR="006A58E8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4F3DBF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lang w:val="es-MX"/>
        </w:rPr>
        <w:t>sentido de la resolución en comento,</w:t>
      </w:r>
      <w:r w:rsidRPr="004F3DBF">
        <w:rPr>
          <w:rFonts w:ascii="Palatino Linotype" w:hAnsi="Palatino Linotype" w:cs="Arial"/>
          <w:lang w:val="es-MX"/>
        </w:rPr>
        <w:t xml:space="preserve"> difiero respecto </w:t>
      </w:r>
      <w:r>
        <w:rPr>
          <w:rFonts w:ascii="Palatino Linotype" w:hAnsi="Palatino Linotype" w:cs="Arial"/>
          <w:lang w:val="es-MX"/>
        </w:rPr>
        <w:t xml:space="preserve">a </w:t>
      </w:r>
      <w:r w:rsidR="00A711B4">
        <w:rPr>
          <w:rFonts w:ascii="Palatino Linotype" w:hAnsi="Palatino Linotype" w:cs="Arial"/>
          <w:lang w:val="es-MX"/>
        </w:rPr>
        <w:t xml:space="preserve">la información que se ordena en </w:t>
      </w:r>
      <w:r w:rsidR="006A58E8">
        <w:rPr>
          <w:rFonts w:ascii="Palatino Linotype" w:hAnsi="Palatino Linotype" w:cs="Arial"/>
          <w:lang w:val="es-MX"/>
        </w:rPr>
        <w:t>el inciso b</w:t>
      </w:r>
      <w:r>
        <w:rPr>
          <w:rFonts w:ascii="Palatino Linotype" w:hAnsi="Palatino Linotype" w:cs="Arial"/>
          <w:lang w:val="es-MX"/>
        </w:rPr>
        <w:t xml:space="preserve">) </w:t>
      </w:r>
      <w:r w:rsidR="006A58E8">
        <w:rPr>
          <w:rFonts w:ascii="Palatino Linotype" w:hAnsi="Palatino Linotype" w:cs="Arial"/>
          <w:lang w:val="es-MX"/>
        </w:rPr>
        <w:t>del Resolutivo SEGUNDO.</w:t>
      </w:r>
    </w:p>
    <w:p w:rsidR="00195929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lang w:eastAsia="es-CO"/>
        </w:rPr>
        <w:t>Lo anterior debido a que,</w:t>
      </w:r>
      <w:r>
        <w:rPr>
          <w:rFonts w:ascii="Palatino Linotype" w:hAnsi="Palatino Linotype"/>
          <w:color w:val="000000"/>
        </w:rPr>
        <w:t xml:space="preserve"> </w:t>
      </w:r>
      <w:r w:rsidR="006A58E8">
        <w:rPr>
          <w:rFonts w:ascii="Palatino Linotype" w:hAnsi="Palatino Linotype"/>
          <w:color w:val="000000"/>
        </w:rPr>
        <w:t xml:space="preserve">el particular en su solicitud de información únicamente en relación a los cuadrantes requirió conocer la manera en que se encuentra dividido el Municipio a efecto de que la policía pueda realizar sus funciones </w:t>
      </w:r>
      <w:r>
        <w:rPr>
          <w:rFonts w:ascii="Palatino Linotype" w:hAnsi="Palatino Linotype"/>
          <w:color w:val="000000"/>
        </w:rPr>
        <w:t xml:space="preserve">y en respuesta como ya se dijo </w:t>
      </w:r>
      <w:r>
        <w:rPr>
          <w:rFonts w:ascii="Palatino Linotype" w:hAnsi="Palatino Linotype"/>
          <w:b/>
          <w:color w:val="000000"/>
        </w:rPr>
        <w:t xml:space="preserve">EL SUJETO OBLIGADO </w:t>
      </w:r>
      <w:r>
        <w:rPr>
          <w:rFonts w:ascii="Palatino Linotype" w:hAnsi="Palatino Linotype"/>
          <w:color w:val="000000"/>
        </w:rPr>
        <w:t xml:space="preserve">remitió diferentes archivos electrónicos </w:t>
      </w:r>
      <w:r w:rsidR="006A58E8">
        <w:rPr>
          <w:rFonts w:ascii="Palatino Linotype" w:hAnsi="Palatino Linotype"/>
          <w:color w:val="000000"/>
        </w:rPr>
        <w:t>entre los cuales únicamente refirió que en el territorio municipal existen 200 cuadrantes</w:t>
      </w:r>
      <w:r>
        <w:rPr>
          <w:rFonts w:ascii="Palatino Linotype" w:hAnsi="Palatino Linotype"/>
          <w:color w:val="000000"/>
        </w:rPr>
        <w:t xml:space="preserve">; sin embargo, la Ponencia Resolutora, en el análisis realizado a las constancias que integran el expediente electrónico del SAIMEX advirtió que </w:t>
      </w:r>
      <w:r w:rsidR="00195929">
        <w:rPr>
          <w:rFonts w:ascii="Palatino Linotype" w:hAnsi="Palatino Linotype"/>
          <w:color w:val="000000"/>
        </w:rPr>
        <w:t xml:space="preserve">del archivo a través del cual el particular entregó fotografías </w:t>
      </w:r>
      <w:r w:rsidR="00933B85">
        <w:rPr>
          <w:rFonts w:ascii="Palatino Linotype" w:hAnsi="Palatino Linotype"/>
          <w:color w:val="000000"/>
        </w:rPr>
        <w:t xml:space="preserve">de algunos cuadrantes </w:t>
      </w:r>
      <w:r w:rsidR="00195929">
        <w:rPr>
          <w:rFonts w:ascii="Palatino Linotype" w:hAnsi="Palatino Linotype"/>
          <w:color w:val="000000"/>
        </w:rPr>
        <w:t>en las que se observa el nombre, mapa, número de patrulla asignada, los policías jefes de cuadrante y el número telefónico de auxilio en caso de emergencia</w:t>
      </w:r>
      <w:r w:rsidR="00933B85">
        <w:rPr>
          <w:rFonts w:ascii="Palatino Linotype" w:hAnsi="Palatino Linotype"/>
          <w:color w:val="000000"/>
        </w:rPr>
        <w:t xml:space="preserve">, es por lo que determinó ordenar la entrega </w:t>
      </w:r>
      <w:r w:rsidR="00933B85">
        <w:rPr>
          <w:rFonts w:ascii="Palatino Linotype" w:hAnsi="Palatino Linotype"/>
          <w:color w:val="000000"/>
        </w:rPr>
        <w:lastRenderedPageBreak/>
        <w:t xml:space="preserve">de la información de tal manera, pues a su consideración el dar a conocer el nombre de </w:t>
      </w:r>
      <w:r w:rsidR="00933B85" w:rsidRPr="00225228">
        <w:rPr>
          <w:rFonts w:ascii="Palatino Linotype" w:hAnsi="Palatino Linotype"/>
        </w:rPr>
        <w:t>los jefes de turno de cuadrante, así como el número de vehículo policial encargado de realizar rondines a lo largo de los cuadrantes, no vulnera la operatividad de la seguridad pública,</w:t>
      </w:r>
      <w:r w:rsidR="00933B85">
        <w:rPr>
          <w:rFonts w:ascii="Palatino Linotype" w:hAnsi="Palatino Linotype"/>
        </w:rPr>
        <w:t xml:space="preserve"> sino que por el contrario </w:t>
      </w:r>
      <w:r w:rsidR="00933B85" w:rsidRPr="00225228">
        <w:rPr>
          <w:rFonts w:ascii="Palatino Linotype" w:hAnsi="Palatino Linotype"/>
        </w:rPr>
        <w:t>pone a disposición de los particulares a los servidores públicos específicos con quienes se pueden dirigir para solicitar auxilio en cualquier siniestro</w:t>
      </w:r>
      <w:r w:rsidR="00933B85">
        <w:rPr>
          <w:rFonts w:ascii="Palatino Linotype" w:hAnsi="Palatino Linotype"/>
        </w:rPr>
        <w:t>.</w:t>
      </w:r>
    </w:p>
    <w:p w:rsidR="005E216A" w:rsidRPr="00BE0FA2" w:rsidRDefault="00933B85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eastAsia="Palatino Linotype" w:hAnsi="Palatino Linotype" w:cs="Palatino Linotype"/>
        </w:rPr>
        <w:t xml:space="preserve">Empero, a </w:t>
      </w:r>
      <w:r w:rsidR="005E216A">
        <w:rPr>
          <w:rFonts w:ascii="Palatino Linotype" w:eastAsia="Palatino Linotype" w:hAnsi="Palatino Linotype" w:cs="Palatino Linotype"/>
        </w:rPr>
        <w:t xml:space="preserve">criterio de la suscrita </w:t>
      </w:r>
      <w:r>
        <w:rPr>
          <w:rFonts w:ascii="Palatino Linotype" w:eastAsia="Palatino Linotype" w:hAnsi="Palatino Linotype" w:cs="Palatino Linotype"/>
        </w:rPr>
        <w:t>tanto en estudio como en resolutivos la ponencia Resolutora debió concretarse únicamente a analizar la solicitud de información y en consecuencia ordenar la en</w:t>
      </w:r>
      <w:r w:rsidR="006F221D">
        <w:rPr>
          <w:rFonts w:ascii="Palatino Linotype" w:eastAsia="Palatino Linotype" w:hAnsi="Palatino Linotype" w:cs="Palatino Linotype"/>
        </w:rPr>
        <w:t>trega de la información que le fue</w:t>
      </w:r>
      <w:r>
        <w:rPr>
          <w:rFonts w:ascii="Palatino Linotype" w:eastAsia="Palatino Linotype" w:hAnsi="Palatino Linotype" w:cs="Palatino Linotype"/>
        </w:rPr>
        <w:t xml:space="preserve"> requerida</w:t>
      </w:r>
      <w:r w:rsidR="00714F10">
        <w:rPr>
          <w:rFonts w:ascii="Palatino Linotype" w:eastAsia="Palatino Linotype" w:hAnsi="Palatino Linotype" w:cs="Palatino Linotype"/>
        </w:rPr>
        <w:t xml:space="preserve">, esto a fin de dar certeza jurídica al solicitante y de aplicar un criterio congruente y exhaustivo al momento de resolver los recursos de revisión por parte de este Instituto </w:t>
      </w:r>
      <w:r w:rsidR="005E216A" w:rsidRPr="009F03BA">
        <w:rPr>
          <w:rFonts w:ascii="Palatino Linotype" w:hAnsi="Palatino Linotype" w:cs="Arial"/>
        </w:rPr>
        <w:t>en</w:t>
      </w:r>
      <w:r w:rsidR="005E216A">
        <w:rPr>
          <w:rFonts w:ascii="Palatino Linotype" w:hAnsi="Palatino Linotype" w:cs="Arial"/>
        </w:rPr>
        <w:t xml:space="preserve"> cumplimient</w:t>
      </w:r>
      <w:r w:rsidR="00714F10">
        <w:rPr>
          <w:rFonts w:ascii="Palatino Linotype" w:hAnsi="Palatino Linotype" w:cs="Arial"/>
        </w:rPr>
        <w:t xml:space="preserve">o a los principios que rigen su </w:t>
      </w:r>
      <w:r w:rsidR="005E216A">
        <w:rPr>
          <w:rFonts w:ascii="Palatino Linotype" w:hAnsi="Palatino Linotype" w:cs="Arial"/>
        </w:rPr>
        <w:t>actuar establecidos en los artícu</w:t>
      </w:r>
      <w:r w:rsidR="005E216A" w:rsidRPr="009C5FF5">
        <w:rPr>
          <w:rFonts w:ascii="Palatino Linotype" w:hAnsi="Palatino Linotype" w:cs="Arial"/>
        </w:rPr>
        <w:t>los</w:t>
      </w:r>
      <w:r w:rsidR="00714F10">
        <w:rPr>
          <w:rFonts w:ascii="Palatino Linotype" w:hAnsi="Palatino Linotype" w:cs="Arial"/>
        </w:rPr>
        <w:t xml:space="preserve"> 4 y 9, fracción I </w:t>
      </w:r>
      <w:r w:rsidR="005E216A" w:rsidRPr="009C5FF5">
        <w:rPr>
          <w:rFonts w:ascii="Palatino Linotype" w:hAnsi="Palatino Linotype" w:cs="Arial"/>
        </w:rPr>
        <w:t>de la Ley de Transpar</w:t>
      </w:r>
      <w:r w:rsidR="005E216A">
        <w:rPr>
          <w:rFonts w:ascii="Palatino Linotype" w:hAnsi="Palatino Linotype" w:cs="Arial"/>
        </w:rPr>
        <w:t>encia y Acceso</w:t>
      </w:r>
      <w:r w:rsidR="005E216A" w:rsidRPr="009C5FF5">
        <w:rPr>
          <w:rFonts w:ascii="Palatino Linotype" w:hAnsi="Palatino Linotype" w:cs="Arial"/>
        </w:rPr>
        <w:t xml:space="preserve"> a la Información Pú</w:t>
      </w:r>
      <w:r w:rsidR="005E216A">
        <w:rPr>
          <w:rFonts w:ascii="Palatino Linotype" w:hAnsi="Palatino Linotype" w:cs="Arial"/>
        </w:rPr>
        <w:t>b</w:t>
      </w:r>
      <w:r w:rsidR="005E216A" w:rsidRPr="009C5FF5">
        <w:rPr>
          <w:rFonts w:ascii="Palatino Linotype" w:hAnsi="Palatino Linotype" w:cs="Arial"/>
        </w:rPr>
        <w:t>lica del Estado de México y</w:t>
      </w:r>
      <w:r w:rsidR="005E216A">
        <w:rPr>
          <w:rFonts w:ascii="Palatino Linotype" w:hAnsi="Palatino Linotype" w:cs="Arial"/>
        </w:rPr>
        <w:t xml:space="preserve"> </w:t>
      </w:r>
      <w:r w:rsidR="005E216A" w:rsidRPr="009C5FF5">
        <w:rPr>
          <w:rFonts w:ascii="Palatino Linotype" w:hAnsi="Palatino Linotype" w:cs="Arial"/>
        </w:rPr>
        <w:t xml:space="preserve">Municipios, mediante </w:t>
      </w:r>
      <w:r w:rsidR="005E216A">
        <w:rPr>
          <w:rFonts w:ascii="Palatino Linotype" w:hAnsi="Palatino Linotype" w:cs="Arial"/>
        </w:rPr>
        <w:t xml:space="preserve">los cuales debe </w:t>
      </w:r>
      <w:r w:rsidR="005E216A" w:rsidRPr="009C5FF5">
        <w:rPr>
          <w:rFonts w:ascii="Palatino Linotype" w:hAnsi="Palatino Linotype" w:cs="Arial"/>
        </w:rPr>
        <w:t xml:space="preserve">privilegiarse </w:t>
      </w:r>
      <w:r w:rsidR="005E216A">
        <w:rPr>
          <w:rFonts w:ascii="Palatino Linotype" w:hAnsi="Palatino Linotype" w:cs="Arial"/>
        </w:rPr>
        <w:t>la</w:t>
      </w:r>
      <w:r w:rsidR="005E216A" w:rsidRPr="009C5FF5">
        <w:rPr>
          <w:rFonts w:ascii="Palatino Linotype" w:hAnsi="Palatino Linotype" w:cs="Arial"/>
        </w:rPr>
        <w:t xml:space="preserve"> máxima publicidad</w:t>
      </w:r>
      <w:r w:rsidR="005E216A">
        <w:rPr>
          <w:rFonts w:ascii="Palatino Linotype" w:hAnsi="Palatino Linotype" w:cs="Arial"/>
        </w:rPr>
        <w:t>, preceptos que se trascriben a continuación:</w:t>
      </w:r>
    </w:p>
    <w:p w:rsidR="005E216A" w:rsidRPr="00444E6E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t>“</w:t>
      </w:r>
      <w:r w:rsidRPr="00444E6E">
        <w:rPr>
          <w:rFonts w:ascii="Palatino Linotype" w:hAnsi="Palatino Linotype" w:cs="Arial"/>
          <w:b/>
          <w:bCs/>
          <w:i/>
          <w:sz w:val="22"/>
        </w:rPr>
        <w:t>Artículo 4.</w:t>
      </w:r>
      <w:r w:rsidRPr="00444E6E">
        <w:rPr>
          <w:rFonts w:ascii="Palatino Linotype" w:hAnsi="Palatino Linotype" w:cs="Arial"/>
          <w:bCs/>
          <w:i/>
          <w:sz w:val="22"/>
        </w:rPr>
        <w:t xml:space="preserve"> </w:t>
      </w:r>
      <w:r w:rsidRPr="009C5FF5">
        <w:rPr>
          <w:rFonts w:ascii="Palatino Linotype" w:hAnsi="Palatino Linotype" w:cs="Arial"/>
          <w:bCs/>
          <w:i/>
          <w:sz w:val="22"/>
        </w:rPr>
        <w:t>El derecho humano de acceso a la información pública es la prerrogativa de las personas para buscar, difundir, investigar, recabar, recibir y solicitar información pública</w:t>
      </w:r>
      <w:r w:rsidRPr="00444E6E">
        <w:rPr>
          <w:rFonts w:ascii="Palatino Linotype" w:hAnsi="Palatino Linotype" w:cs="Arial"/>
          <w:bCs/>
          <w:i/>
          <w:sz w:val="22"/>
        </w:rPr>
        <w:t xml:space="preserve">, sin necesidad de acreditar personalidad ni interés jurídico. </w:t>
      </w:r>
    </w:p>
    <w:p w:rsidR="005E216A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 w:rsidRPr="00933F8A">
        <w:rPr>
          <w:rFonts w:ascii="Palatino Linotype" w:hAnsi="Palatino Linotype" w:cs="Arial"/>
          <w:b/>
          <w:bCs/>
          <w:i/>
          <w:sz w:val="22"/>
        </w:rPr>
        <w:t>Toda la información generada, obtenida, adquirida, transformada, administrada o en posesión de los sujetos obligados es pública y accesible de manera permanente a cualquier persona</w:t>
      </w:r>
      <w:r w:rsidRPr="00933F8A">
        <w:rPr>
          <w:rFonts w:ascii="Palatino Linotype" w:hAnsi="Palatino Linotype" w:cs="Arial"/>
          <w:bCs/>
          <w:i/>
          <w:sz w:val="22"/>
        </w:rPr>
        <w:t xml:space="preserve">, en los términos y condiciones que se establezcan en los tratados internacionales de los que el Estado mexicano sea parte, en la Ley General, la presente Ley y demás disposiciones de la materia, </w:t>
      </w:r>
      <w:r w:rsidRPr="00933F8A">
        <w:rPr>
          <w:rFonts w:ascii="Palatino Linotype" w:hAnsi="Palatino Linotype" w:cs="Arial"/>
          <w:b/>
          <w:bCs/>
          <w:i/>
          <w:sz w:val="22"/>
        </w:rPr>
        <w:t>privilegiando el principio de máxima publicidad</w:t>
      </w:r>
      <w:r w:rsidRPr="00933F8A">
        <w:rPr>
          <w:rFonts w:ascii="Palatino Linotype" w:hAnsi="Palatino Linotype" w:cs="Arial"/>
          <w:bCs/>
          <w:i/>
          <w:sz w:val="22"/>
        </w:rPr>
        <w:t xml:space="preserve"> de la </w:t>
      </w:r>
      <w:r w:rsidRPr="00933F8A">
        <w:rPr>
          <w:rFonts w:ascii="Palatino Linotype" w:hAnsi="Palatino Linotype" w:cs="Arial"/>
          <w:i/>
          <w:color w:val="000000"/>
          <w:sz w:val="22"/>
        </w:rPr>
        <w:t>información</w:t>
      </w:r>
      <w:r w:rsidRPr="00444E6E">
        <w:rPr>
          <w:rFonts w:ascii="Palatino Linotype" w:hAnsi="Palatino Linotype" w:cs="Arial"/>
          <w:bCs/>
          <w:i/>
          <w:sz w:val="22"/>
        </w:rPr>
        <w:t xml:space="preserve">. Solo podrá ser clasificada excepcionalmente como reservada temporalmente por razones de </w:t>
      </w:r>
      <w:r w:rsidRPr="00444E6E">
        <w:rPr>
          <w:rFonts w:ascii="Palatino Linotype" w:hAnsi="Palatino Linotype" w:cs="Arial"/>
          <w:bCs/>
          <w:i/>
          <w:sz w:val="22"/>
        </w:rPr>
        <w:lastRenderedPageBreak/>
        <w:t xml:space="preserve">interés público, en los términos de las causas legítimas y estrictamente necesarias previstas por esta Ley. </w:t>
      </w:r>
    </w:p>
    <w:p w:rsidR="005E216A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 w:rsidRPr="00444E6E">
        <w:rPr>
          <w:rFonts w:ascii="Palatino Linotype" w:hAnsi="Palatino Linotype" w:cs="Arial"/>
          <w:bCs/>
          <w:i/>
          <w:sz w:val="22"/>
        </w:rPr>
        <w:t xml:space="preserve">Los sujetos obligados deben poner en práctica, políticas y programas de acceso a la información que se apeguen a criterios de publicidad, veracidad, oportunidad, precisión y suficiencia en beneficio de los solicitantes. </w:t>
      </w:r>
    </w:p>
    <w:p w:rsidR="005E216A" w:rsidRPr="00933F8A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933F8A">
        <w:rPr>
          <w:rFonts w:ascii="Palatino Linotype" w:hAnsi="Palatino Linotype" w:cs="Arial"/>
          <w:b/>
          <w:bCs/>
          <w:i/>
          <w:sz w:val="22"/>
        </w:rPr>
        <w:t>Artículo 9. El Instituto deberá regir su funcionamiento de acuerdo a los siguientes principios:</w:t>
      </w:r>
    </w:p>
    <w:p w:rsidR="005E216A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 w:rsidRPr="00BE0FA2">
        <w:rPr>
          <w:rFonts w:ascii="Palatino Linotype" w:hAnsi="Palatino Linotype" w:cs="Arial"/>
          <w:b/>
          <w:bCs/>
          <w:i/>
          <w:sz w:val="22"/>
        </w:rPr>
        <w:t>I. Certeza:</w:t>
      </w:r>
      <w:r w:rsidRPr="00BE0FA2">
        <w:rPr>
          <w:rFonts w:ascii="Palatino Linotype" w:hAnsi="Palatino Linotype" w:cs="Arial"/>
          <w:bCs/>
          <w:i/>
          <w:sz w:val="22"/>
        </w:rPr>
        <w:t xml:space="preserve"> 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714F10" w:rsidRDefault="00714F10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…”</w:t>
      </w:r>
    </w:p>
    <w:p w:rsidR="005E216A" w:rsidRPr="00444E6E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(Énfasis añadido)</w:t>
      </w:r>
    </w:p>
    <w:p w:rsidR="005E216A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/>
        </w:rPr>
        <w:t xml:space="preserve">A fin de robustecer lo expuesto,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 xml:space="preserve">002/2017 del Instituto Nacional de Acceso a la Información y Protección de Datos (INAI), </w:t>
      </w:r>
      <w:r>
        <w:rPr>
          <w:rFonts w:ascii="Palatino Linotype" w:hAnsi="Palatino Linotype" w:cs="Arial"/>
        </w:rPr>
        <w:t>cuyo tenor es el siguiente:</w:t>
      </w:r>
    </w:p>
    <w:p w:rsidR="005E216A" w:rsidRPr="00D621C2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6807DD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:rsidR="005E216A" w:rsidRDefault="005E216A" w:rsidP="005E216A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Cs/>
          <w:i/>
          <w:sz w:val="22"/>
        </w:rPr>
        <w:lastRenderedPageBreak/>
        <w:t xml:space="preserve">Resoluciones: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  <w:sz w:val="22"/>
        </w:rPr>
        <w:t>.”</w:t>
      </w:r>
    </w:p>
    <w:p w:rsidR="00D6522E" w:rsidRPr="00D6522E" w:rsidRDefault="00D6522E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Como se afirmó arriba,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en su repuesta refirió que el Municipio contaba con 200 cuadrantes; por lo que, si la solicitud de información del particular consistió en conocer la manera en que se encuentra dividido el Municipio por cuadrantes, a criterio de la suscrita se debió ordenar el docume</w:t>
      </w:r>
      <w:r w:rsidR="006F221D">
        <w:rPr>
          <w:rFonts w:ascii="Palatino Linotype" w:hAnsi="Palatino Linotype" w:cs="Arial"/>
        </w:rPr>
        <w:t>nto o documentos en donde constara</w:t>
      </w:r>
      <w:r>
        <w:rPr>
          <w:rFonts w:ascii="Palatino Linotype" w:hAnsi="Palatino Linotype" w:cs="Arial"/>
        </w:rPr>
        <w:t xml:space="preserve"> la división geográfica de los 200 cuadrantes referidos, es decir, dar a conocer al solicitante l</w:t>
      </w:r>
      <w:r w:rsidR="006F221D">
        <w:rPr>
          <w:rFonts w:ascii="Palatino Linotype" w:hAnsi="Palatino Linotype" w:cs="Arial"/>
        </w:rPr>
        <w:t xml:space="preserve">as calles o colonias que comprende </w:t>
      </w:r>
      <w:r>
        <w:rPr>
          <w:rFonts w:ascii="Palatino Linotype" w:hAnsi="Palatino Linotype" w:cs="Arial"/>
        </w:rPr>
        <w:t xml:space="preserve">cada uno, y de esta manera satisfacer el derecho de acceso a la información pública del </w:t>
      </w:r>
      <w:r>
        <w:rPr>
          <w:rFonts w:ascii="Palatino Linotype" w:hAnsi="Palatino Linotype" w:cs="Arial"/>
          <w:b/>
        </w:rPr>
        <w:t>RECURRENTE.</w:t>
      </w:r>
    </w:p>
    <w:p w:rsidR="005E216A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t>Es por lo anteriormen</w:t>
      </w:r>
      <w:r>
        <w:rPr>
          <w:rFonts w:ascii="Palatino Linotype" w:hAnsi="Palatino Linotype" w:cs="Arial"/>
        </w:rPr>
        <w:t>te expuesto que, la que suscrita</w:t>
      </w:r>
      <w:r w:rsidRPr="000A6958">
        <w:rPr>
          <w:rFonts w:ascii="Palatino Linotype" w:hAnsi="Palatino Linotype" w:cs="Arial"/>
        </w:rPr>
        <w:t xml:space="preserve">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</w:t>
      </w:r>
      <w:r>
        <w:rPr>
          <w:rFonts w:ascii="Palatino Linotype" w:hAnsi="Palatino Linotype" w:cs="Arial"/>
        </w:rPr>
        <w:t xml:space="preserve">lo </w:t>
      </w:r>
      <w:r w:rsidRPr="000A6958">
        <w:rPr>
          <w:rFonts w:ascii="Palatino Linotype" w:hAnsi="Palatino Linotype" w:cs="Arial"/>
        </w:rPr>
        <w:t xml:space="preserve">procedente </w:t>
      </w:r>
      <w:r>
        <w:rPr>
          <w:rFonts w:ascii="Palatino Linotype" w:hAnsi="Palatino Linotype" w:cs="Arial"/>
        </w:rPr>
        <w:t>respecto a</w:t>
      </w:r>
      <w:bookmarkStart w:id="0" w:name="_GoBack"/>
      <w:bookmarkEnd w:id="0"/>
      <w:r>
        <w:rPr>
          <w:rFonts w:ascii="Palatino Linotype" w:hAnsi="Palatino Linotype" w:cs="Arial"/>
        </w:rPr>
        <w:t xml:space="preserve"> la entrega de la información señalada en el Resolutivo SEGUNDO, </w:t>
      </w:r>
      <w:r w:rsidR="006F221D">
        <w:rPr>
          <w:rFonts w:ascii="Palatino Linotype" w:hAnsi="Palatino Linotype" w:cs="Arial"/>
        </w:rPr>
        <w:t>inciso b) debió atender</w:t>
      </w:r>
      <w:r w:rsidR="00D6522E">
        <w:rPr>
          <w:rFonts w:ascii="Palatino Linotype" w:hAnsi="Palatino Linotype" w:cs="Arial"/>
        </w:rPr>
        <w:t xml:space="preserve"> a la solicitud</w:t>
      </w:r>
      <w:r>
        <w:rPr>
          <w:rFonts w:ascii="Palatino Linotype" w:hAnsi="Palatino Linotype" w:cs="Arial"/>
        </w:rPr>
        <w:t xml:space="preserve"> de información planteada, a fin de ser congruentes con lo </w:t>
      </w:r>
      <w:r w:rsidR="00D6522E">
        <w:rPr>
          <w:rFonts w:ascii="Palatino Linotype" w:hAnsi="Palatino Linotype" w:cs="Arial"/>
        </w:rPr>
        <w:t xml:space="preserve">peticionado </w:t>
      </w:r>
      <w:r>
        <w:rPr>
          <w:rFonts w:ascii="Palatino Linotype" w:hAnsi="Palatino Linotype" w:cs="Arial"/>
        </w:rPr>
  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18"/>
        </w:rPr>
      </w:pPr>
    </w:p>
    <w:p w:rsidR="00A53A0D" w:rsidRPr="00A53A0D" w:rsidRDefault="00A53A0D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18"/>
        </w:rPr>
      </w:pPr>
    </w:p>
    <w:p w:rsidR="00A53A0D" w:rsidRPr="00A53A0D" w:rsidRDefault="00A53A0D" w:rsidP="005E216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18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5E216A" w:rsidRPr="001950C9" w:rsidTr="00A95FED">
        <w:trPr>
          <w:jc w:val="center"/>
        </w:trPr>
        <w:tc>
          <w:tcPr>
            <w:tcW w:w="4393" w:type="dxa"/>
          </w:tcPr>
          <w:p w:rsidR="005E216A" w:rsidRPr="001950C9" w:rsidRDefault="005E216A" w:rsidP="00A95FED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5E216A" w:rsidRPr="001950C9" w:rsidRDefault="005E216A" w:rsidP="00A53A0D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D6522E" w:rsidRPr="00A53A0D" w:rsidRDefault="00D6522E" w:rsidP="005E216A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5E216A" w:rsidRDefault="005E216A" w:rsidP="005E216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D6522E">
        <w:rPr>
          <w:rFonts w:ascii="Palatino Linotype" w:eastAsia="Calibri" w:hAnsi="Palatino Linotype" w:cs="Arial"/>
          <w:color w:val="000000" w:themeColor="text1"/>
          <w:sz w:val="20"/>
          <w:szCs w:val="20"/>
        </w:rPr>
        <w:t>4048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8,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D6522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dieciséis de enero 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dos mil dieci</w:t>
      </w:r>
      <w:r w:rsidR="00D6522E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5E216A" w:rsidRPr="00A53A0D" w:rsidRDefault="005E216A" w:rsidP="005E216A">
      <w:pPr>
        <w:jc w:val="both"/>
        <w:rPr>
          <w:sz w:val="28"/>
        </w:rPr>
      </w:pPr>
      <w:r w:rsidRPr="00A53A0D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YSM/AMV</w:t>
      </w:r>
    </w:p>
    <w:sectPr w:rsidR="005E216A" w:rsidRPr="00A53A0D" w:rsidSect="00017A8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EC" w:rsidRDefault="002F2FEC" w:rsidP="005E216A">
      <w:r>
        <w:separator/>
      </w:r>
    </w:p>
  </w:endnote>
  <w:endnote w:type="continuationSeparator" w:id="0">
    <w:p w:rsidR="002F2FEC" w:rsidRDefault="002F2FEC" w:rsidP="005E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F2FEC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2F2FEC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2F2FEC" w:rsidP="00A53A0D">
    <w:pPr>
      <w:pStyle w:val="Piedepgina"/>
      <w:tabs>
        <w:tab w:val="clear" w:pos="4252"/>
        <w:tab w:val="left" w:pos="4228"/>
      </w:tabs>
      <w:jc w:val="center"/>
      <w:rPr>
        <w:rFonts w:ascii="Palatino Linotype" w:hAnsi="Palatino Linotype" w:cs="Arial"/>
        <w:b/>
        <w:bCs/>
        <w:sz w:val="20"/>
        <w:szCs w:val="20"/>
      </w:rPr>
    </w:pPr>
  </w:p>
  <w:p w:rsidR="005C7C8F" w:rsidRDefault="002F2FEC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BC1586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53A0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53A0D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2F2FEC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EC" w:rsidRDefault="002F2FEC" w:rsidP="005E216A">
      <w:r>
        <w:separator/>
      </w:r>
    </w:p>
  </w:footnote>
  <w:footnote w:type="continuationSeparator" w:id="0">
    <w:p w:rsidR="002F2FEC" w:rsidRDefault="002F2FEC" w:rsidP="005E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F2F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29" w:rsidRDefault="00BC1586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7661E69" wp14:editId="03A99251">
          <wp:simplePos x="0" y="0"/>
          <wp:positionH relativeFrom="column">
            <wp:posOffset>-695435</wp:posOffset>
          </wp:positionH>
          <wp:positionV relativeFrom="paragraph">
            <wp:posOffset>-449746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2F2FEC" w:rsidP="00DC5C4E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5C7C8F" w:rsidRDefault="00BC1586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BC1586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</w:t>
    </w:r>
    <w:r w:rsidR="005E216A">
      <w:rPr>
        <w:rFonts w:ascii="Palatino Linotype" w:hAnsi="Palatino Linotype" w:cs="Arial"/>
        <w:sz w:val="20"/>
        <w:szCs w:val="20"/>
      </w:rPr>
      <w:t>4048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2E3829" w:rsidRDefault="002F2FEC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6.2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F2F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223F"/>
    <w:multiLevelType w:val="hybridMultilevel"/>
    <w:tmpl w:val="80EC8274"/>
    <w:lvl w:ilvl="0" w:tplc="0D2CC0C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90"/>
    <w:multiLevelType w:val="hybridMultilevel"/>
    <w:tmpl w:val="3C96CC0A"/>
    <w:lvl w:ilvl="0" w:tplc="FB0C99F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E63C2"/>
    <w:multiLevelType w:val="hybridMultilevel"/>
    <w:tmpl w:val="AF54A9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5140"/>
    <w:multiLevelType w:val="hybridMultilevel"/>
    <w:tmpl w:val="6304FD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62055F"/>
    <w:multiLevelType w:val="multilevel"/>
    <w:tmpl w:val="6994D100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40A94"/>
    <w:multiLevelType w:val="hybridMultilevel"/>
    <w:tmpl w:val="2534801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6A"/>
    <w:rsid w:val="00195929"/>
    <w:rsid w:val="002F2FEC"/>
    <w:rsid w:val="005E216A"/>
    <w:rsid w:val="006A58E8"/>
    <w:rsid w:val="006F221D"/>
    <w:rsid w:val="00714F10"/>
    <w:rsid w:val="00933B85"/>
    <w:rsid w:val="00A53A0D"/>
    <w:rsid w:val="00A711B4"/>
    <w:rsid w:val="00BC1586"/>
    <w:rsid w:val="00C23B43"/>
    <w:rsid w:val="00C9714C"/>
    <w:rsid w:val="00D6522E"/>
    <w:rsid w:val="00E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2A848EA-6C5D-409F-8CD9-2B34491A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16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E216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E216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16A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E216A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E216A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1764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2019-01-18T17:04:00Z</dcterms:created>
  <dcterms:modified xsi:type="dcterms:W3CDTF">2019-02-12T23:19:00Z</dcterms:modified>
</cp:coreProperties>
</file>